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2FB74" w14:textId="77777777" w:rsidR="00F73647" w:rsidRPr="00F73647" w:rsidRDefault="00F73647" w:rsidP="00F73647">
      <w:pPr>
        <w:shd w:val="clear" w:color="auto" w:fill="FFFFFF"/>
        <w:spacing w:before="40" w:after="0" w:line="240" w:lineRule="auto"/>
        <w:outlineLvl w:val="1"/>
        <w:rPr>
          <w:rFonts w:ascii="Libre Baskerville" w:eastAsia="Times New Roman" w:hAnsi="Libre Baskerville" w:cs="Arial"/>
          <w:b/>
          <w:bCs/>
          <w:color w:val="000000" w:themeColor="text1"/>
          <w:kern w:val="0"/>
          <w:sz w:val="30"/>
          <w:szCs w:val="30"/>
          <w14:ligatures w14:val="none"/>
        </w:rPr>
      </w:pPr>
      <w:r w:rsidRPr="00F73647">
        <w:rPr>
          <w:rFonts w:ascii="Libre Baskerville" w:eastAsia="Times New Roman" w:hAnsi="Libre Baskerville" w:cs="Arial"/>
          <w:b/>
          <w:bCs/>
          <w:color w:val="000000" w:themeColor="text1"/>
          <w:kern w:val="0"/>
          <w:sz w:val="30"/>
          <w:szCs w:val="30"/>
          <w14:ligatures w14:val="none"/>
        </w:rPr>
        <w:t>What is the VOICES Act?</w:t>
      </w:r>
    </w:p>
    <w:p w14:paraId="65355BEB" w14:textId="77777777" w:rsidR="00F73647" w:rsidRPr="00F73647" w:rsidRDefault="00F73647" w:rsidP="00F73647">
      <w:pPr>
        <w:shd w:val="clear" w:color="auto" w:fill="FFFFFF"/>
        <w:spacing w:after="336" w:line="240" w:lineRule="auto"/>
        <w:rPr>
          <w:rFonts w:ascii="Arial" w:eastAsia="Times New Roman" w:hAnsi="Arial" w:cs="Arial"/>
          <w:color w:val="000000" w:themeColor="text1"/>
          <w:kern w:val="0"/>
          <w:sz w:val="23"/>
          <w:szCs w:val="23"/>
          <w14:ligatures w14:val="none"/>
        </w:rPr>
      </w:pPr>
      <w:r w:rsidRPr="00F73647">
        <w:rPr>
          <w:rFonts w:ascii="Arial" w:eastAsia="Times New Roman" w:hAnsi="Arial" w:cs="Arial"/>
          <w:color w:val="000000" w:themeColor="text1"/>
          <w:kern w:val="0"/>
          <w:sz w:val="23"/>
          <w:szCs w:val="23"/>
          <w14:ligatures w14:val="none"/>
        </w:rPr>
        <w:t>The Voices of Immigrant Communities Empowering Act, also known as the VOICES Act, was recently amended by the Illinois Way Forward Act (Public Act 102-0234). The VOICES Act allows “victims of qualifying criminal activity” to request a “certification form” or a law enforcement certification form or statement required by federal immigration law certifying that a person is a victim of qualifying criminal activity for use in applying for a U-Visa or T-Visa under the United States Code.</w:t>
      </w:r>
    </w:p>
    <w:p w14:paraId="4B142AD9" w14:textId="77777777" w:rsidR="00F73647" w:rsidRPr="00F73647" w:rsidRDefault="00F73647" w:rsidP="00F73647">
      <w:pPr>
        <w:shd w:val="clear" w:color="auto" w:fill="FFFFFF"/>
        <w:spacing w:after="0" w:line="240" w:lineRule="auto"/>
        <w:outlineLvl w:val="2"/>
        <w:rPr>
          <w:rFonts w:ascii="Libre Baskerville" w:eastAsia="Times New Roman" w:hAnsi="Libre Baskerville" w:cs="Arial"/>
          <w:b/>
          <w:bCs/>
          <w:color w:val="000000" w:themeColor="text1"/>
          <w:kern w:val="0"/>
          <w:sz w:val="25"/>
          <w:szCs w:val="25"/>
          <w14:ligatures w14:val="none"/>
        </w:rPr>
      </w:pPr>
      <w:r w:rsidRPr="00F73647">
        <w:rPr>
          <w:rFonts w:ascii="Libre Baskerville" w:eastAsia="Times New Roman" w:hAnsi="Libre Baskerville" w:cs="Arial"/>
          <w:b/>
          <w:bCs/>
          <w:color w:val="000000" w:themeColor="text1"/>
          <w:kern w:val="0"/>
          <w:sz w:val="25"/>
          <w:szCs w:val="25"/>
          <w14:ligatures w14:val="none"/>
        </w:rPr>
        <w:t>Links to the Act</w:t>
      </w:r>
    </w:p>
    <w:p w14:paraId="5FBCB6EC" w14:textId="77777777" w:rsidR="00F73647" w:rsidRPr="00F73647" w:rsidRDefault="00F73647" w:rsidP="00F73647">
      <w:pPr>
        <w:shd w:val="clear" w:color="auto" w:fill="FFFFFF"/>
        <w:spacing w:after="336" w:line="240" w:lineRule="auto"/>
        <w:rPr>
          <w:rFonts w:ascii="Arial" w:eastAsia="Times New Roman" w:hAnsi="Arial" w:cs="Arial"/>
          <w:color w:val="000000" w:themeColor="text1"/>
          <w:kern w:val="0"/>
          <w:sz w:val="23"/>
          <w:szCs w:val="23"/>
          <w14:ligatures w14:val="none"/>
        </w:rPr>
      </w:pPr>
      <w:r w:rsidRPr="00F73647">
        <w:rPr>
          <w:rFonts w:ascii="Arial" w:eastAsia="Times New Roman" w:hAnsi="Arial" w:cs="Arial"/>
          <w:color w:val="000000" w:themeColor="text1"/>
          <w:kern w:val="0"/>
          <w:sz w:val="23"/>
          <w:szCs w:val="23"/>
          <w14:ligatures w14:val="none"/>
        </w:rPr>
        <w:t>The Illinois Way Forward Act (Public Act 102-0234) can be found here:   </w:t>
      </w:r>
      <w:hyperlink r:id="rId4" w:history="1">
        <w:r w:rsidRPr="00F73647">
          <w:rPr>
            <w:rFonts w:ascii="Arial" w:eastAsia="Times New Roman" w:hAnsi="Arial" w:cs="Arial"/>
            <w:color w:val="000000" w:themeColor="text1"/>
            <w:kern w:val="0"/>
            <w:sz w:val="23"/>
            <w:szCs w:val="23"/>
            <w:u w:val="single"/>
            <w14:ligatures w14:val="none"/>
          </w:rPr>
          <w:t>https://www.ilga.gov/legislation/publicacts/fulltext.asp?Name=102-0234&amp;GA=102</w:t>
        </w:r>
      </w:hyperlink>
    </w:p>
    <w:p w14:paraId="65C271BF" w14:textId="77777777" w:rsidR="003C7406" w:rsidRDefault="00F73647" w:rsidP="003C7406">
      <w:pPr>
        <w:shd w:val="clear" w:color="auto" w:fill="FFFFFF"/>
        <w:spacing w:after="336" w:line="240" w:lineRule="auto"/>
        <w:rPr>
          <w:rFonts w:ascii="Arial" w:eastAsia="Times New Roman" w:hAnsi="Arial" w:cs="Arial"/>
          <w:color w:val="000000" w:themeColor="text1"/>
          <w:kern w:val="0"/>
          <w:sz w:val="23"/>
          <w:szCs w:val="23"/>
          <w14:ligatures w14:val="none"/>
        </w:rPr>
      </w:pPr>
      <w:r w:rsidRPr="00F73647">
        <w:rPr>
          <w:rFonts w:ascii="Arial" w:eastAsia="Times New Roman" w:hAnsi="Arial" w:cs="Arial"/>
          <w:color w:val="000000" w:themeColor="text1"/>
          <w:kern w:val="0"/>
          <w:sz w:val="23"/>
          <w:szCs w:val="23"/>
          <w14:ligatures w14:val="none"/>
        </w:rPr>
        <w:t>The Illinois VOICES ACT (5 ILCS 825/1) can be found here:</w:t>
      </w:r>
      <w:r w:rsidRPr="00F73647">
        <w:rPr>
          <w:rFonts w:ascii="Arial" w:eastAsia="Times New Roman" w:hAnsi="Arial" w:cs="Arial"/>
          <w:color w:val="000000" w:themeColor="text1"/>
          <w:kern w:val="0"/>
          <w:sz w:val="23"/>
          <w:szCs w:val="23"/>
          <w14:ligatures w14:val="none"/>
        </w:rPr>
        <w:br/>
      </w:r>
      <w:hyperlink r:id="rId5" w:tgtFrame="_blank" w:history="1">
        <w:r w:rsidRPr="00F73647">
          <w:rPr>
            <w:rFonts w:ascii="Arial" w:eastAsia="Times New Roman" w:hAnsi="Arial" w:cs="Arial"/>
            <w:color w:val="000000" w:themeColor="text1"/>
            <w:kern w:val="0"/>
            <w:sz w:val="23"/>
            <w:szCs w:val="23"/>
            <w:u w:val="single"/>
            <w14:ligatures w14:val="none"/>
          </w:rPr>
          <w:t>https://www.ilga.gov/legislation/ilcs/ilcs3.asp?ActID=3916&amp;ChapterID=2</w:t>
        </w:r>
      </w:hyperlink>
    </w:p>
    <w:p w14:paraId="6F928972" w14:textId="77777777" w:rsidR="00F73647" w:rsidRPr="003C7406" w:rsidRDefault="00F73647" w:rsidP="003C7406">
      <w:pPr>
        <w:shd w:val="clear" w:color="auto" w:fill="FFFFFF"/>
        <w:spacing w:after="336" w:line="240" w:lineRule="auto"/>
        <w:rPr>
          <w:rFonts w:ascii="Arial" w:eastAsia="Times New Roman" w:hAnsi="Arial" w:cs="Arial"/>
          <w:color w:val="000000" w:themeColor="text1"/>
          <w:kern w:val="0"/>
          <w:sz w:val="23"/>
          <w:szCs w:val="23"/>
          <w14:ligatures w14:val="none"/>
        </w:rPr>
      </w:pPr>
      <w:r w:rsidRPr="00F73647">
        <w:rPr>
          <w:rFonts w:ascii="Libre Baskerville" w:hAnsi="Libre Baskerville"/>
          <w:color w:val="000000" w:themeColor="text1"/>
          <w:sz w:val="31"/>
          <w:szCs w:val="31"/>
        </w:rPr>
        <w:t>Who is eligible to participate?</w:t>
      </w:r>
    </w:p>
    <w:p w14:paraId="63AFCB2E" w14:textId="77777777" w:rsidR="00F73647" w:rsidRPr="00F73647" w:rsidRDefault="00F73647" w:rsidP="00F73647">
      <w:pPr>
        <w:pStyle w:val="NormalWeb"/>
        <w:shd w:val="clear" w:color="auto" w:fill="FFFFFF"/>
        <w:spacing w:before="0" w:beforeAutospacing="0" w:after="336" w:afterAutospacing="0"/>
        <w:rPr>
          <w:rFonts w:ascii="Arial" w:hAnsi="Arial" w:cs="Arial"/>
          <w:color w:val="000000" w:themeColor="text1"/>
          <w:sz w:val="23"/>
          <w:szCs w:val="23"/>
        </w:rPr>
      </w:pPr>
      <w:r w:rsidRPr="00F73647">
        <w:rPr>
          <w:rFonts w:ascii="Arial" w:hAnsi="Arial" w:cs="Arial"/>
          <w:color w:val="000000" w:themeColor="text1"/>
          <w:sz w:val="23"/>
          <w:szCs w:val="23"/>
        </w:rPr>
        <w:t>Those individuals who are identified as “victims of qualifying criminal activity” as defined in the act who were involved in an incident investigated by the City of Robinson Police Department.</w:t>
      </w:r>
    </w:p>
    <w:p w14:paraId="6A128BC9" w14:textId="77777777" w:rsidR="00F73647" w:rsidRPr="00F73647" w:rsidRDefault="00F73647" w:rsidP="00F73647">
      <w:pPr>
        <w:pStyle w:val="NormalWeb"/>
        <w:shd w:val="clear" w:color="auto" w:fill="FFFFFF"/>
        <w:spacing w:before="0" w:beforeAutospacing="0" w:after="336" w:afterAutospacing="0"/>
        <w:rPr>
          <w:rFonts w:ascii="Arial" w:hAnsi="Arial" w:cs="Arial"/>
          <w:color w:val="000000" w:themeColor="text1"/>
          <w:sz w:val="23"/>
          <w:szCs w:val="23"/>
        </w:rPr>
      </w:pPr>
      <w:r w:rsidRPr="00F73647">
        <w:rPr>
          <w:rFonts w:ascii="Arial" w:hAnsi="Arial" w:cs="Arial"/>
          <w:color w:val="000000" w:themeColor="text1"/>
          <w:sz w:val="23"/>
          <w:szCs w:val="23"/>
        </w:rPr>
        <w:t>"Victim of qualifying criminal activity" means a person described in Section 1101(a)(15)(U)(</w:t>
      </w:r>
      <w:proofErr w:type="spellStart"/>
      <w:r w:rsidRPr="00F73647">
        <w:rPr>
          <w:rFonts w:ascii="Arial" w:hAnsi="Arial" w:cs="Arial"/>
          <w:color w:val="000000" w:themeColor="text1"/>
          <w:sz w:val="23"/>
          <w:szCs w:val="23"/>
        </w:rPr>
        <w:t>i</w:t>
      </w:r>
      <w:proofErr w:type="spellEnd"/>
      <w:r w:rsidRPr="00F73647">
        <w:rPr>
          <w:rFonts w:ascii="Arial" w:hAnsi="Arial" w:cs="Arial"/>
          <w:color w:val="000000" w:themeColor="text1"/>
          <w:sz w:val="23"/>
          <w:szCs w:val="23"/>
        </w:rPr>
        <w:t>)(I) of Title 8 of the United States Code, in the definition of "victim of a severe form of trafficking" in Section 7102(14) of Title 22 of the United States Code, or in any implementing federal regulations, supplementary information, guidance, and instructions.</w:t>
      </w:r>
    </w:p>
    <w:p w14:paraId="64898352" w14:textId="77777777" w:rsidR="003C7406" w:rsidRDefault="00F73647" w:rsidP="003C7406">
      <w:pPr>
        <w:pStyle w:val="NormalWeb"/>
        <w:shd w:val="clear" w:color="auto" w:fill="FFFFFF"/>
        <w:spacing w:before="0" w:beforeAutospacing="0" w:after="336" w:afterAutospacing="0"/>
        <w:rPr>
          <w:rFonts w:ascii="Arial" w:hAnsi="Arial" w:cs="Arial"/>
          <w:color w:val="000000" w:themeColor="text1"/>
          <w:sz w:val="23"/>
          <w:szCs w:val="23"/>
        </w:rPr>
      </w:pPr>
      <w:r w:rsidRPr="00F73647">
        <w:rPr>
          <w:rFonts w:ascii="Arial" w:hAnsi="Arial" w:cs="Arial"/>
          <w:color w:val="000000" w:themeColor="text1"/>
          <w:sz w:val="23"/>
          <w:szCs w:val="23"/>
        </w:rPr>
        <w:t>"Qualifying criminal activity" means any activity, regardless of the stage of detection, investigation, or prosecution, designated in Section 1101(a)(15)(U)(iii) of Title 8 of the United States Code, any implementing federal regulations, supplementary information, guidance, and instructions</w:t>
      </w:r>
    </w:p>
    <w:p w14:paraId="0A7FD0CF" w14:textId="77777777" w:rsidR="00F73647" w:rsidRPr="003C7406" w:rsidRDefault="00F73647" w:rsidP="003C7406">
      <w:pPr>
        <w:pStyle w:val="NormalWeb"/>
        <w:shd w:val="clear" w:color="auto" w:fill="FFFFFF"/>
        <w:spacing w:before="0" w:beforeAutospacing="0" w:after="336" w:afterAutospacing="0"/>
        <w:rPr>
          <w:rFonts w:ascii="Arial" w:hAnsi="Arial" w:cs="Arial"/>
          <w:color w:val="000000" w:themeColor="text1"/>
          <w:sz w:val="23"/>
          <w:szCs w:val="23"/>
        </w:rPr>
      </w:pPr>
      <w:r w:rsidRPr="00F73647">
        <w:rPr>
          <w:rFonts w:ascii="Libre Baskerville" w:hAnsi="Libre Baskerville"/>
          <w:color w:val="000000" w:themeColor="text1"/>
          <w:sz w:val="31"/>
          <w:szCs w:val="31"/>
        </w:rPr>
        <w:t>How does someone apply?</w:t>
      </w:r>
    </w:p>
    <w:p w14:paraId="647A5DE1" w14:textId="77777777" w:rsidR="00F73647" w:rsidRPr="00F73647" w:rsidRDefault="00F73647" w:rsidP="00F73647">
      <w:pPr>
        <w:pStyle w:val="Heading3"/>
        <w:shd w:val="clear" w:color="auto" w:fill="FFFFFF"/>
        <w:spacing w:before="0" w:beforeAutospacing="0" w:after="0" w:afterAutospacing="0"/>
        <w:rPr>
          <w:rFonts w:ascii="Libre Baskerville" w:hAnsi="Libre Baskerville"/>
          <w:color w:val="000000" w:themeColor="text1"/>
          <w:sz w:val="26"/>
          <w:szCs w:val="26"/>
        </w:rPr>
      </w:pPr>
      <w:r w:rsidRPr="00F73647">
        <w:rPr>
          <w:rFonts w:ascii="Libre Baskerville" w:hAnsi="Libre Baskerville"/>
          <w:color w:val="000000" w:themeColor="text1"/>
          <w:sz w:val="26"/>
          <w:szCs w:val="26"/>
        </w:rPr>
        <w:t>Step One: </w:t>
      </w:r>
    </w:p>
    <w:p w14:paraId="457061EC" w14:textId="77777777" w:rsidR="00F73647" w:rsidRPr="00F73647" w:rsidRDefault="00F73647" w:rsidP="00F73647">
      <w:pPr>
        <w:pStyle w:val="NormalWeb"/>
        <w:shd w:val="clear" w:color="auto" w:fill="FFFFFF"/>
        <w:spacing w:before="0" w:beforeAutospacing="0" w:after="336" w:afterAutospacing="0"/>
        <w:rPr>
          <w:rFonts w:ascii="Arial" w:hAnsi="Arial" w:cs="Arial"/>
          <w:color w:val="000000" w:themeColor="text1"/>
          <w:sz w:val="23"/>
          <w:szCs w:val="23"/>
        </w:rPr>
      </w:pPr>
      <w:r w:rsidRPr="00F73647">
        <w:rPr>
          <w:rFonts w:ascii="Arial" w:hAnsi="Arial" w:cs="Arial"/>
          <w:color w:val="000000" w:themeColor="text1"/>
          <w:sz w:val="23"/>
          <w:szCs w:val="23"/>
        </w:rPr>
        <w:t>Download the appropriate U-Visa or T Visa law enforcement certification form:</w:t>
      </w:r>
    </w:p>
    <w:p w14:paraId="036964C4" w14:textId="77777777" w:rsidR="00F73647" w:rsidRPr="00F73647" w:rsidRDefault="00000000" w:rsidP="00F73647">
      <w:pPr>
        <w:pStyle w:val="NormalWeb"/>
        <w:shd w:val="clear" w:color="auto" w:fill="FFFFFF"/>
        <w:spacing w:before="0" w:beforeAutospacing="0" w:after="336" w:afterAutospacing="0"/>
        <w:rPr>
          <w:rFonts w:ascii="Arial" w:hAnsi="Arial" w:cs="Arial"/>
          <w:color w:val="000000" w:themeColor="text1"/>
          <w:sz w:val="23"/>
          <w:szCs w:val="23"/>
        </w:rPr>
      </w:pPr>
      <w:hyperlink r:id="rId6" w:tgtFrame="_blank" w:history="1">
        <w:r w:rsidR="00F73647" w:rsidRPr="00F73647">
          <w:rPr>
            <w:rStyle w:val="Hyperlink"/>
            <w:rFonts w:ascii="Arial" w:hAnsi="Arial" w:cs="Arial"/>
            <w:color w:val="000000" w:themeColor="text1"/>
            <w:sz w:val="23"/>
            <w:szCs w:val="23"/>
          </w:rPr>
          <w:t>U-Visa</w:t>
        </w:r>
      </w:hyperlink>
      <w:r w:rsidR="00F73647" w:rsidRPr="00F73647">
        <w:rPr>
          <w:rFonts w:ascii="Arial" w:hAnsi="Arial" w:cs="Arial"/>
          <w:color w:val="000000" w:themeColor="text1"/>
          <w:sz w:val="23"/>
          <w:szCs w:val="23"/>
        </w:rPr>
        <w:t> (USCIS Form I-918 Supplement B)</w:t>
      </w:r>
    </w:p>
    <w:p w14:paraId="7D4B785C" w14:textId="77777777" w:rsidR="00F73647" w:rsidRPr="00F73647" w:rsidRDefault="00000000" w:rsidP="00F73647">
      <w:pPr>
        <w:pStyle w:val="NormalWeb"/>
        <w:shd w:val="clear" w:color="auto" w:fill="FFFFFF"/>
        <w:spacing w:before="0" w:beforeAutospacing="0" w:after="336" w:afterAutospacing="0"/>
        <w:rPr>
          <w:rFonts w:ascii="Arial" w:hAnsi="Arial" w:cs="Arial"/>
          <w:color w:val="000000" w:themeColor="text1"/>
          <w:sz w:val="23"/>
          <w:szCs w:val="23"/>
        </w:rPr>
      </w:pPr>
      <w:hyperlink r:id="rId7" w:tgtFrame="_blank" w:history="1">
        <w:r w:rsidR="00F73647" w:rsidRPr="00F73647">
          <w:rPr>
            <w:rStyle w:val="Hyperlink"/>
            <w:rFonts w:ascii="Arial" w:hAnsi="Arial" w:cs="Arial"/>
            <w:color w:val="000000" w:themeColor="text1"/>
            <w:sz w:val="23"/>
            <w:szCs w:val="23"/>
          </w:rPr>
          <w:t>T-Visa</w:t>
        </w:r>
      </w:hyperlink>
      <w:r w:rsidR="00F73647" w:rsidRPr="00F73647">
        <w:rPr>
          <w:rFonts w:ascii="Arial" w:hAnsi="Arial" w:cs="Arial"/>
          <w:color w:val="000000" w:themeColor="text1"/>
          <w:sz w:val="23"/>
          <w:szCs w:val="23"/>
        </w:rPr>
        <w:t> (USCIS Form I-914 Supplement B)</w:t>
      </w:r>
    </w:p>
    <w:p w14:paraId="5355545C" w14:textId="77777777" w:rsidR="003C7406" w:rsidRDefault="003C7406" w:rsidP="00F73647">
      <w:pPr>
        <w:pStyle w:val="Heading3"/>
        <w:shd w:val="clear" w:color="auto" w:fill="FFFFFF"/>
        <w:spacing w:before="0" w:beforeAutospacing="0" w:after="0" w:afterAutospacing="0"/>
        <w:rPr>
          <w:rFonts w:ascii="Libre Baskerville" w:hAnsi="Libre Baskerville"/>
          <w:color w:val="000000" w:themeColor="text1"/>
          <w:sz w:val="26"/>
          <w:szCs w:val="26"/>
        </w:rPr>
      </w:pPr>
    </w:p>
    <w:p w14:paraId="0B923FD7" w14:textId="77777777" w:rsidR="003C7406" w:rsidRDefault="003C7406" w:rsidP="00F73647">
      <w:pPr>
        <w:pStyle w:val="Heading3"/>
        <w:shd w:val="clear" w:color="auto" w:fill="FFFFFF"/>
        <w:spacing w:before="0" w:beforeAutospacing="0" w:after="0" w:afterAutospacing="0"/>
        <w:rPr>
          <w:rFonts w:ascii="Libre Baskerville" w:hAnsi="Libre Baskerville"/>
          <w:color w:val="000000" w:themeColor="text1"/>
          <w:sz w:val="26"/>
          <w:szCs w:val="26"/>
        </w:rPr>
      </w:pPr>
    </w:p>
    <w:p w14:paraId="04A7DC99" w14:textId="77777777" w:rsidR="00F73647" w:rsidRPr="00F73647" w:rsidRDefault="00F73647" w:rsidP="00F73647">
      <w:pPr>
        <w:pStyle w:val="Heading3"/>
        <w:shd w:val="clear" w:color="auto" w:fill="FFFFFF"/>
        <w:spacing w:before="0" w:beforeAutospacing="0" w:after="0" w:afterAutospacing="0"/>
        <w:rPr>
          <w:rFonts w:ascii="Libre Baskerville" w:hAnsi="Libre Baskerville"/>
          <w:color w:val="000000" w:themeColor="text1"/>
          <w:sz w:val="26"/>
          <w:szCs w:val="26"/>
        </w:rPr>
      </w:pPr>
      <w:r w:rsidRPr="00F73647">
        <w:rPr>
          <w:rFonts w:ascii="Libre Baskerville" w:hAnsi="Libre Baskerville"/>
          <w:color w:val="000000" w:themeColor="text1"/>
          <w:sz w:val="26"/>
          <w:szCs w:val="26"/>
        </w:rPr>
        <w:lastRenderedPageBreak/>
        <w:t>Step Two:</w:t>
      </w:r>
    </w:p>
    <w:p w14:paraId="36C6839E" w14:textId="77777777" w:rsidR="00F73647" w:rsidRPr="00F73647" w:rsidRDefault="00F73647" w:rsidP="00F73647">
      <w:pPr>
        <w:pStyle w:val="NormalWeb"/>
        <w:shd w:val="clear" w:color="auto" w:fill="FFFFFF"/>
        <w:spacing w:before="0" w:beforeAutospacing="0" w:after="336" w:afterAutospacing="0"/>
        <w:rPr>
          <w:rFonts w:ascii="Arial" w:hAnsi="Arial" w:cs="Arial"/>
          <w:color w:val="000000" w:themeColor="text1"/>
          <w:sz w:val="23"/>
          <w:szCs w:val="23"/>
        </w:rPr>
      </w:pPr>
      <w:r w:rsidRPr="00F73647">
        <w:rPr>
          <w:rFonts w:ascii="Arial" w:hAnsi="Arial" w:cs="Arial"/>
          <w:color w:val="000000" w:themeColor="text1"/>
          <w:sz w:val="23"/>
          <w:szCs w:val="23"/>
        </w:rPr>
        <w:t>Complete Part 1 of the U-Visa or Part B of the T-Visa. Do not complete any other sections of the applications. Incorrectly completed forms may be rejected or may increase response time.</w:t>
      </w:r>
    </w:p>
    <w:p w14:paraId="78B41A6A" w14:textId="77777777" w:rsidR="00F73647" w:rsidRPr="00F73647" w:rsidRDefault="00F73647" w:rsidP="00F73647">
      <w:pPr>
        <w:pStyle w:val="Heading3"/>
        <w:shd w:val="clear" w:color="auto" w:fill="FFFFFF"/>
        <w:spacing w:before="0" w:beforeAutospacing="0" w:after="0" w:afterAutospacing="0"/>
        <w:rPr>
          <w:rFonts w:ascii="Libre Baskerville" w:hAnsi="Libre Baskerville"/>
          <w:color w:val="000000" w:themeColor="text1"/>
          <w:sz w:val="26"/>
          <w:szCs w:val="26"/>
        </w:rPr>
      </w:pPr>
      <w:r w:rsidRPr="00F73647">
        <w:rPr>
          <w:rFonts w:ascii="Libre Baskerville" w:hAnsi="Libre Baskerville"/>
          <w:color w:val="000000" w:themeColor="text1"/>
          <w:sz w:val="26"/>
          <w:szCs w:val="26"/>
        </w:rPr>
        <w:t>Step Three:</w:t>
      </w:r>
    </w:p>
    <w:p w14:paraId="3066426E" w14:textId="77777777" w:rsidR="00F73647" w:rsidRPr="00F73647" w:rsidRDefault="00F73647" w:rsidP="00F73647">
      <w:pPr>
        <w:pStyle w:val="NormalWeb"/>
        <w:shd w:val="clear" w:color="auto" w:fill="FFFFFF"/>
        <w:spacing w:before="0" w:beforeAutospacing="0" w:after="336" w:afterAutospacing="0"/>
        <w:rPr>
          <w:rFonts w:ascii="Arial" w:hAnsi="Arial" w:cs="Arial"/>
          <w:color w:val="000000" w:themeColor="text1"/>
          <w:sz w:val="23"/>
          <w:szCs w:val="23"/>
        </w:rPr>
      </w:pPr>
      <w:r w:rsidRPr="00F73647">
        <w:rPr>
          <w:rFonts w:ascii="Arial" w:hAnsi="Arial" w:cs="Arial"/>
          <w:color w:val="000000" w:themeColor="text1"/>
          <w:sz w:val="23"/>
          <w:szCs w:val="23"/>
        </w:rPr>
        <w:t>Send the U-Visa or T-Visa law enforcement certification form to:</w:t>
      </w:r>
    </w:p>
    <w:p w14:paraId="5E0F3B6B" w14:textId="77777777" w:rsidR="00F73647" w:rsidRPr="00F73647" w:rsidRDefault="00F73647" w:rsidP="00F73647">
      <w:pPr>
        <w:pStyle w:val="NormalWeb"/>
        <w:shd w:val="clear" w:color="auto" w:fill="FFFFFF"/>
        <w:spacing w:before="0" w:beforeAutospacing="0" w:after="336" w:afterAutospacing="0"/>
        <w:rPr>
          <w:rFonts w:ascii="Arial" w:hAnsi="Arial" w:cs="Arial"/>
          <w:color w:val="000000" w:themeColor="text1"/>
          <w:sz w:val="23"/>
          <w:szCs w:val="23"/>
        </w:rPr>
      </w:pPr>
      <w:r w:rsidRPr="00F73647">
        <w:rPr>
          <w:rFonts w:ascii="Arial" w:hAnsi="Arial" w:cs="Arial"/>
          <w:color w:val="000000" w:themeColor="text1"/>
          <w:sz w:val="23"/>
          <w:szCs w:val="23"/>
        </w:rPr>
        <w:t xml:space="preserve">Sergeant </w:t>
      </w:r>
      <w:r>
        <w:rPr>
          <w:rFonts w:ascii="Arial" w:hAnsi="Arial" w:cs="Arial"/>
          <w:color w:val="000000" w:themeColor="text1"/>
          <w:sz w:val="23"/>
          <w:szCs w:val="23"/>
        </w:rPr>
        <w:t>Eric Schmidt</w:t>
      </w:r>
      <w:r w:rsidRPr="00F73647">
        <w:rPr>
          <w:rFonts w:ascii="Arial" w:hAnsi="Arial" w:cs="Arial"/>
          <w:color w:val="000000" w:themeColor="text1"/>
          <w:sz w:val="23"/>
          <w:szCs w:val="23"/>
        </w:rPr>
        <w:br/>
      </w:r>
      <w:r>
        <w:rPr>
          <w:rFonts w:ascii="Arial" w:hAnsi="Arial" w:cs="Arial"/>
          <w:color w:val="000000" w:themeColor="text1"/>
          <w:sz w:val="23"/>
          <w:szCs w:val="23"/>
        </w:rPr>
        <w:t>City of Robinson Police Department</w:t>
      </w:r>
      <w:r w:rsidRPr="00F73647">
        <w:rPr>
          <w:rFonts w:ascii="Arial" w:hAnsi="Arial" w:cs="Arial"/>
          <w:color w:val="000000" w:themeColor="text1"/>
          <w:sz w:val="23"/>
          <w:szCs w:val="23"/>
        </w:rPr>
        <w:br/>
        <w:t>Attn: VOICES Act</w:t>
      </w:r>
      <w:r w:rsidRPr="00F73647">
        <w:rPr>
          <w:rFonts w:ascii="Arial" w:hAnsi="Arial" w:cs="Arial"/>
          <w:color w:val="000000" w:themeColor="text1"/>
          <w:sz w:val="23"/>
          <w:szCs w:val="23"/>
        </w:rPr>
        <w:br/>
      </w:r>
      <w:r>
        <w:rPr>
          <w:rFonts w:ascii="Arial" w:hAnsi="Arial" w:cs="Arial"/>
          <w:color w:val="000000" w:themeColor="text1"/>
          <w:sz w:val="23"/>
          <w:szCs w:val="23"/>
        </w:rPr>
        <w:t>300 S. Lincoln Street PO Box 308</w:t>
      </w:r>
      <w:r w:rsidRPr="00F73647">
        <w:rPr>
          <w:rFonts w:ascii="Arial" w:hAnsi="Arial" w:cs="Arial"/>
          <w:color w:val="000000" w:themeColor="text1"/>
          <w:sz w:val="23"/>
          <w:szCs w:val="23"/>
        </w:rPr>
        <w:br/>
      </w:r>
      <w:r>
        <w:rPr>
          <w:rFonts w:ascii="Arial" w:hAnsi="Arial" w:cs="Arial"/>
          <w:color w:val="000000" w:themeColor="text1"/>
          <w:sz w:val="23"/>
          <w:szCs w:val="23"/>
        </w:rPr>
        <w:t>Robinson, IL 62454</w:t>
      </w:r>
    </w:p>
    <w:p w14:paraId="09676053" w14:textId="77777777" w:rsidR="00F73647" w:rsidRDefault="00F73647" w:rsidP="00F73647">
      <w:pPr>
        <w:pStyle w:val="Heading2"/>
        <w:shd w:val="clear" w:color="auto" w:fill="FFFFFF"/>
        <w:spacing w:before="40" w:beforeAutospacing="0" w:after="0" w:afterAutospacing="0"/>
        <w:rPr>
          <w:rFonts w:ascii="Libre Baskerville" w:hAnsi="Libre Baskerville"/>
          <w:color w:val="0E72A8"/>
          <w:sz w:val="31"/>
          <w:szCs w:val="31"/>
        </w:rPr>
      </w:pPr>
      <w:r w:rsidRPr="00F73647">
        <w:rPr>
          <w:rFonts w:ascii="Libre Baskerville" w:hAnsi="Libre Baskerville"/>
          <w:color w:val="000000" w:themeColor="text1"/>
          <w:sz w:val="31"/>
          <w:szCs w:val="31"/>
        </w:rPr>
        <w:t>Do you need more information?</w:t>
      </w:r>
    </w:p>
    <w:p w14:paraId="5DE70B92" w14:textId="77777777" w:rsidR="00F73647" w:rsidRDefault="00F73647" w:rsidP="00F73647">
      <w:pPr>
        <w:pStyle w:val="NormalWeb"/>
        <w:shd w:val="clear" w:color="auto" w:fill="FFFFFF"/>
        <w:spacing w:before="0" w:beforeAutospacing="0" w:after="336" w:afterAutospacing="0"/>
        <w:rPr>
          <w:rFonts w:ascii="Arial" w:hAnsi="Arial" w:cs="Arial"/>
          <w:color w:val="333333"/>
          <w:sz w:val="23"/>
          <w:szCs w:val="23"/>
        </w:rPr>
      </w:pPr>
      <w:r>
        <w:rPr>
          <w:rFonts w:ascii="Arial" w:hAnsi="Arial" w:cs="Arial"/>
          <w:color w:val="333333"/>
          <w:sz w:val="23"/>
          <w:szCs w:val="23"/>
        </w:rPr>
        <w:t>Sergeant Eric Schmidt has been designated by the Chief of Police to receive, review and respond to requests for completion of the certification form. He can also assist with questions relating to the VOICES Act. You can reach him by emailing him at </w:t>
      </w:r>
      <w:hyperlink r:id="rId8" w:tgtFrame="_blank" w:history="1">
        <w:r>
          <w:rPr>
            <w:rStyle w:val="Hyperlink"/>
            <w:rFonts w:ascii="Arial" w:hAnsi="Arial" w:cs="Arial"/>
            <w:color w:val="1155CC"/>
            <w:shd w:val="clear" w:color="auto" w:fill="FFFFFF"/>
          </w:rPr>
          <w:t>eric.schmidt@robinsonpolice.org</w:t>
        </w:r>
      </w:hyperlink>
      <w:r>
        <w:rPr>
          <w:rFonts w:ascii="Arial" w:hAnsi="Arial" w:cs="Arial"/>
          <w:color w:val="333333"/>
          <w:sz w:val="23"/>
          <w:szCs w:val="23"/>
        </w:rPr>
        <w:t xml:space="preserve"> Mail can also be directly addressed to Sgt. Eric Schmidt, City of Robinson Police Department, 300 S. Lincoln Street, PO Box 308 Robinson Illinois, 62454</w:t>
      </w:r>
    </w:p>
    <w:p w14:paraId="03B3BB75" w14:textId="77777777" w:rsidR="00F73647" w:rsidRDefault="00F73647" w:rsidP="00F73647">
      <w:pPr>
        <w:pStyle w:val="NormalWeb"/>
        <w:shd w:val="clear" w:color="auto" w:fill="FFFFFF"/>
        <w:spacing w:before="0" w:beforeAutospacing="0" w:after="336" w:afterAutospacing="0"/>
        <w:rPr>
          <w:rFonts w:ascii="Arial" w:hAnsi="Arial" w:cs="Arial"/>
          <w:color w:val="333333"/>
          <w:sz w:val="23"/>
          <w:szCs w:val="23"/>
        </w:rPr>
      </w:pPr>
    </w:p>
    <w:p w14:paraId="212B1BB2" w14:textId="77777777" w:rsidR="00F73647" w:rsidRDefault="00F73647"/>
    <w:sectPr w:rsidR="00F73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re Baskerville">
    <w:charset w:val="00"/>
    <w:family w:val="auto"/>
    <w:pitch w:val="variable"/>
    <w:sig w:usb0="A00000BF" w:usb1="50000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47"/>
    <w:rsid w:val="000732B2"/>
    <w:rsid w:val="003C7406"/>
    <w:rsid w:val="008562FA"/>
    <w:rsid w:val="008C2C99"/>
    <w:rsid w:val="00F73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D3940"/>
  <w15:chartTrackingRefBased/>
  <w15:docId w15:val="{AC653FAF-6AFC-4D5A-8ACD-55E56777A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73647"/>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F73647"/>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F73647"/>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647"/>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F73647"/>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F73647"/>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unhideWhenUsed/>
    <w:rsid w:val="00F7364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F736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08643">
      <w:bodyDiv w:val="1"/>
      <w:marLeft w:val="0"/>
      <w:marRight w:val="0"/>
      <w:marTop w:val="0"/>
      <w:marBottom w:val="0"/>
      <w:divBdr>
        <w:top w:val="none" w:sz="0" w:space="0" w:color="auto"/>
        <w:left w:val="none" w:sz="0" w:space="0" w:color="auto"/>
        <w:bottom w:val="none" w:sz="0" w:space="0" w:color="auto"/>
        <w:right w:val="none" w:sz="0" w:space="0" w:color="auto"/>
      </w:divBdr>
    </w:div>
    <w:div w:id="616134991">
      <w:bodyDiv w:val="1"/>
      <w:marLeft w:val="0"/>
      <w:marRight w:val="0"/>
      <w:marTop w:val="0"/>
      <w:marBottom w:val="0"/>
      <w:divBdr>
        <w:top w:val="none" w:sz="0" w:space="0" w:color="auto"/>
        <w:left w:val="none" w:sz="0" w:space="0" w:color="auto"/>
        <w:bottom w:val="none" w:sz="0" w:space="0" w:color="auto"/>
        <w:right w:val="none" w:sz="0" w:space="0" w:color="auto"/>
      </w:divBdr>
    </w:div>
    <w:div w:id="1053230716">
      <w:bodyDiv w:val="1"/>
      <w:marLeft w:val="0"/>
      <w:marRight w:val="0"/>
      <w:marTop w:val="0"/>
      <w:marBottom w:val="0"/>
      <w:divBdr>
        <w:top w:val="none" w:sz="0" w:space="0" w:color="auto"/>
        <w:left w:val="none" w:sz="0" w:space="0" w:color="auto"/>
        <w:bottom w:val="none" w:sz="0" w:space="0" w:color="auto"/>
        <w:right w:val="none" w:sz="0" w:space="0" w:color="auto"/>
      </w:divBdr>
    </w:div>
    <w:div w:id="1585335927">
      <w:bodyDiv w:val="1"/>
      <w:marLeft w:val="0"/>
      <w:marRight w:val="0"/>
      <w:marTop w:val="0"/>
      <w:marBottom w:val="0"/>
      <w:divBdr>
        <w:top w:val="none" w:sz="0" w:space="0" w:color="auto"/>
        <w:left w:val="none" w:sz="0" w:space="0" w:color="auto"/>
        <w:bottom w:val="none" w:sz="0" w:space="0" w:color="auto"/>
        <w:right w:val="none" w:sz="0" w:space="0" w:color="auto"/>
      </w:divBdr>
      <w:divsChild>
        <w:div w:id="1754083587">
          <w:marLeft w:val="-240"/>
          <w:marRight w:val="-240"/>
          <w:marTop w:val="0"/>
          <w:marBottom w:val="0"/>
          <w:divBdr>
            <w:top w:val="none" w:sz="0" w:space="0" w:color="auto"/>
            <w:left w:val="none" w:sz="0" w:space="0" w:color="auto"/>
            <w:bottom w:val="none" w:sz="0" w:space="0" w:color="auto"/>
            <w:right w:val="none" w:sz="0" w:space="0" w:color="auto"/>
          </w:divBdr>
          <w:divsChild>
            <w:div w:id="289823159">
              <w:marLeft w:val="0"/>
              <w:marRight w:val="0"/>
              <w:marTop w:val="0"/>
              <w:marBottom w:val="0"/>
              <w:divBdr>
                <w:top w:val="none" w:sz="0" w:space="0" w:color="auto"/>
                <w:left w:val="none" w:sz="0" w:space="0" w:color="auto"/>
                <w:bottom w:val="none" w:sz="0" w:space="0" w:color="auto"/>
                <w:right w:val="none" w:sz="0" w:space="0" w:color="auto"/>
              </w:divBdr>
              <w:divsChild>
                <w:div w:id="749040128">
                  <w:marLeft w:val="0"/>
                  <w:marRight w:val="0"/>
                  <w:marTop w:val="0"/>
                  <w:marBottom w:val="0"/>
                  <w:divBdr>
                    <w:top w:val="none" w:sz="0" w:space="0" w:color="auto"/>
                    <w:left w:val="none" w:sz="0" w:space="0" w:color="auto"/>
                    <w:bottom w:val="none" w:sz="0" w:space="0" w:color="auto"/>
                    <w:right w:val="none" w:sz="0" w:space="0" w:color="auto"/>
                  </w:divBdr>
                  <w:divsChild>
                    <w:div w:id="1326007358">
                      <w:marLeft w:val="0"/>
                      <w:marRight w:val="0"/>
                      <w:marTop w:val="0"/>
                      <w:marBottom w:val="0"/>
                      <w:divBdr>
                        <w:top w:val="none" w:sz="0" w:space="0" w:color="auto"/>
                        <w:left w:val="none" w:sz="0" w:space="0" w:color="auto"/>
                        <w:bottom w:val="none" w:sz="0" w:space="0" w:color="auto"/>
                        <w:right w:val="none" w:sz="0" w:space="0" w:color="auto"/>
                      </w:divBdr>
                      <w:divsChild>
                        <w:div w:id="1105077459">
                          <w:marLeft w:val="0"/>
                          <w:marRight w:val="0"/>
                          <w:marTop w:val="0"/>
                          <w:marBottom w:val="0"/>
                          <w:divBdr>
                            <w:top w:val="none" w:sz="0" w:space="0" w:color="auto"/>
                            <w:left w:val="none" w:sz="0" w:space="0" w:color="auto"/>
                            <w:bottom w:val="none" w:sz="0" w:space="0" w:color="auto"/>
                            <w:right w:val="none" w:sz="0" w:space="0" w:color="auto"/>
                          </w:divBdr>
                          <w:divsChild>
                            <w:div w:id="185279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schmidt@robinsonpolice.org" TargetMode="External"/><Relationship Id="rId3" Type="http://schemas.openxmlformats.org/officeDocument/2006/relationships/webSettings" Target="webSettings.xml"/><Relationship Id="rId7" Type="http://schemas.openxmlformats.org/officeDocument/2006/relationships/hyperlink" Target="https://www.uscis.gov/sites/default/files/document/forms/i-914.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cis.gov/sites/default/files/document/forms/i-918supb.pdf" TargetMode="External"/><Relationship Id="rId5" Type="http://schemas.openxmlformats.org/officeDocument/2006/relationships/hyperlink" Target="https://www.ilga.gov/legislation/ilcs/ilcs3.asp?ActID=3916&amp;ChapterID=2" TargetMode="External"/><Relationship Id="rId10" Type="http://schemas.openxmlformats.org/officeDocument/2006/relationships/theme" Target="theme/theme1.xml"/><Relationship Id="rId4" Type="http://schemas.openxmlformats.org/officeDocument/2006/relationships/hyperlink" Target="https://www.ilga.gov/legislation/publicacts/fulltext.asp?Name=102-0234&amp;GA=102"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Robinson</dc:creator>
  <cp:keywords/>
  <dc:description/>
  <cp:lastModifiedBy>Denise Jobe</cp:lastModifiedBy>
  <cp:revision>2</cp:revision>
  <dcterms:created xsi:type="dcterms:W3CDTF">2023-07-07T16:11:00Z</dcterms:created>
  <dcterms:modified xsi:type="dcterms:W3CDTF">2023-07-07T16:11:00Z</dcterms:modified>
</cp:coreProperties>
</file>